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9" w:rsidRDefault="00A54C0D" w:rsidP="00A54C0D">
      <w:pPr>
        <w:jc w:val="center"/>
        <w:rPr>
          <w:b/>
          <w:u w:val="single"/>
        </w:rPr>
      </w:pPr>
      <w:r w:rsidRPr="00A54C0D">
        <w:rPr>
          <w:b/>
          <w:u w:val="single"/>
        </w:rPr>
        <w:t xml:space="preserve">Национальный проект </w:t>
      </w:r>
      <w:r w:rsidR="00C7371C">
        <w:rPr>
          <w:b/>
          <w:u w:val="single"/>
        </w:rPr>
        <w:t>«</w:t>
      </w:r>
      <w:r w:rsidRPr="00A54C0D">
        <w:rPr>
          <w:b/>
          <w:u w:val="single"/>
        </w:rPr>
        <w:t>Наука и университеты</w:t>
      </w:r>
      <w:r w:rsidR="00C7371C">
        <w:rPr>
          <w:b/>
          <w:u w:val="single"/>
        </w:rPr>
        <w:t>»</w:t>
      </w:r>
    </w:p>
    <w:p w:rsidR="00A54C0D" w:rsidRPr="00A54C0D" w:rsidRDefault="00A54C0D">
      <w:pPr>
        <w:rPr>
          <w:b/>
          <w:u w:val="single"/>
        </w:rPr>
      </w:pPr>
    </w:p>
    <w:p w:rsidR="00A54C0D" w:rsidRDefault="00A54C0D" w:rsidP="00A54C0D">
      <w:r>
        <w:t>XXI век — время прорывных технологий и невероятных инноваций, создавать которые — профессия завтрашнего дня! Наука стала сферой, где талантливая молодежь может найти себя и успешно развиваться.</w:t>
      </w:r>
    </w:p>
    <w:p w:rsidR="00A54C0D" w:rsidRDefault="00A54C0D" w:rsidP="00A54C0D"/>
    <w:p w:rsidR="00A54C0D" w:rsidRDefault="00A54C0D" w:rsidP="00A54C0D">
      <w:r>
        <w:t>Сегодня Россия взяла курс на инновационный прорыв. Национальный проект «Наука и университеты» реализуется согласно указам Президента Российской Федерации от 7 мая 2018 г. № 204 «О национальных целях и стратегических задачах развития Российской Федерации на период до 2024 года» и от 21 июля 2020 г. № 474 «О национальных целях развития Российской Федерации на период до 2030 года». Его ключевая задача — воспитание и поддержка нового поколения ученых, способных совершать великие открытия.</w:t>
      </w:r>
    </w:p>
    <w:p w:rsidR="00A54C0D" w:rsidRDefault="00A54C0D" w:rsidP="00A54C0D"/>
    <w:p w:rsidR="00A54C0D" w:rsidRDefault="00A54C0D" w:rsidP="00A54C0D">
      <w:r>
        <w:t>В рамках нацпроекта «Наука и университеты» выделяются значительные средства на поддержку ученых и создание научных центров с первоклассными условиями для исследовательской работы. Кроме этого, проводится работа по строительству и модернизации научно-исследовательского флота, совершенствованию цифровой инфраструктуры, а также созданию комфортных условий для школьников, студентов, научных работников и педагогов.</w:t>
      </w:r>
    </w:p>
    <w:p w:rsidR="00A54C0D" w:rsidRDefault="00A54C0D" w:rsidP="00A54C0D"/>
    <w:p w:rsidR="00A54C0D" w:rsidRDefault="00A54C0D" w:rsidP="00A54C0D">
      <w:commentRangeStart w:id="0"/>
      <w:r>
        <w:t>Национальный проект «Наука и университеты» включает в себя 4 федеральных проекта</w:t>
      </w:r>
      <w:commentRangeEnd w:id="0"/>
      <w:r w:rsidR="00E12B4D">
        <w:rPr>
          <w:rStyle w:val="a4"/>
        </w:rPr>
        <w:commentReference w:id="0"/>
      </w:r>
      <w:r>
        <w:t>:</w:t>
      </w:r>
    </w:p>
    <w:p w:rsidR="00A54C0D" w:rsidRDefault="00A54C0D" w:rsidP="00A54C0D">
      <w:pPr>
        <w:rPr>
          <w:b/>
          <w:i/>
        </w:rPr>
      </w:pPr>
      <w:r>
        <w:t xml:space="preserve">- </w:t>
      </w:r>
      <w:r w:rsidR="00C7371C" w:rsidRPr="00C7371C">
        <w:rPr>
          <w:b/>
          <w:i/>
        </w:rPr>
        <w:t>Развитие человеческого капитала в интересах регионов, отраслей и сектора исследований и разработок (КАДРЫ)</w:t>
      </w:r>
      <w:r w:rsidRPr="00C7371C">
        <w:rPr>
          <w:b/>
          <w:i/>
        </w:rPr>
        <w:t>;</w:t>
      </w:r>
    </w:p>
    <w:p w:rsidR="00C7371C" w:rsidRDefault="00C7371C" w:rsidP="00A54C0D"/>
    <w:p w:rsidR="00C7371C" w:rsidRDefault="00C7371C" w:rsidP="00C7371C">
      <w:r>
        <w:t>Задача: повышение привлекательности российской науки и образования для ведущих российских и зарубежных ученых, молодых исследователей и обучающихся.</w:t>
      </w:r>
    </w:p>
    <w:p w:rsidR="00C7371C" w:rsidRDefault="00C7371C" w:rsidP="00C7371C"/>
    <w:p w:rsidR="00C7371C" w:rsidRDefault="00C7371C" w:rsidP="00C7371C"/>
    <w:p w:rsidR="00C7371C" w:rsidRDefault="00C7371C" w:rsidP="00C7371C">
      <w:r>
        <w:t xml:space="preserve">Мероприятия направлены </w:t>
      </w:r>
      <w:proofErr w:type="gramStart"/>
      <w:r>
        <w:t>на</w:t>
      </w:r>
      <w:proofErr w:type="gramEnd"/>
      <w:r>
        <w:t>:</w:t>
      </w:r>
    </w:p>
    <w:p w:rsidR="00C7371C" w:rsidRDefault="00C7371C" w:rsidP="00C7371C">
      <w:pPr>
        <w:pStyle w:val="a3"/>
        <w:numPr>
          <w:ilvl w:val="0"/>
          <w:numId w:val="6"/>
        </w:numPr>
      </w:pPr>
      <w:r>
        <w:t>обеспечение доступности высшего образования;</w:t>
      </w:r>
    </w:p>
    <w:p w:rsidR="00C7371C" w:rsidRDefault="00C7371C" w:rsidP="00C7371C">
      <w:pPr>
        <w:pStyle w:val="a3"/>
        <w:numPr>
          <w:ilvl w:val="0"/>
          <w:numId w:val="6"/>
        </w:numPr>
      </w:pPr>
      <w:r>
        <w:t>создание сбалансированной системы воспроизводства кадров для сектора исследований и разработок;</w:t>
      </w:r>
    </w:p>
    <w:p w:rsidR="00C7371C" w:rsidRDefault="00C7371C" w:rsidP="00C7371C">
      <w:pPr>
        <w:pStyle w:val="a3"/>
        <w:numPr>
          <w:ilvl w:val="0"/>
          <w:numId w:val="6"/>
        </w:numPr>
      </w:pPr>
      <w:r>
        <w:t>повышение уровня квалификации управленческих кадров в сфере науки и высшего образования.</w:t>
      </w:r>
    </w:p>
    <w:p w:rsidR="00C7371C" w:rsidRDefault="00C7371C" w:rsidP="00C7371C"/>
    <w:p w:rsidR="00C7371C" w:rsidRDefault="00C7371C" w:rsidP="00C7371C">
      <w:r>
        <w:t>В 2024 году:</w:t>
      </w:r>
    </w:p>
    <w:p w:rsidR="00C7371C" w:rsidRDefault="00C7371C" w:rsidP="00C7371C"/>
    <w:p w:rsidR="00C7371C" w:rsidRDefault="00C7371C" w:rsidP="00C7371C">
      <w:pPr>
        <w:pStyle w:val="a3"/>
        <w:numPr>
          <w:ilvl w:val="0"/>
          <w:numId w:val="1"/>
        </w:numPr>
      </w:pPr>
      <w:r>
        <w:t xml:space="preserve">362 500 бюджетных мест для очного </w:t>
      </w:r>
      <w:proofErr w:type="gramStart"/>
      <w:r>
        <w:t>обучения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>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 xml:space="preserve">35 250 иностранных граждан </w:t>
      </w:r>
      <w:proofErr w:type="gramStart"/>
      <w:r>
        <w:t>привлечены</w:t>
      </w:r>
      <w:proofErr w:type="gramEnd"/>
      <w:r>
        <w:t xml:space="preserve"> на обучение с помощью олимпиад и конкурсов.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lastRenderedPageBreak/>
        <w:t>7 500 научных проектов по приоритетам научно-технологического развития.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>7 000 грантов аспирантам в рамках реализации научных и научно-технологических проектов.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>950 сотрудникам научных и образовательных организаций по программе подготовки управленческих кадров провели обучение.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>900 молодежных лабораторий.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>800 руководителей научных и образовательных организаций – кадровый резерв.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 xml:space="preserve">600 программ </w:t>
      </w:r>
      <w:proofErr w:type="spellStart"/>
      <w:r>
        <w:t>внутрироссийской</w:t>
      </w:r>
      <w:proofErr w:type="spellEnd"/>
      <w:r>
        <w:t xml:space="preserve"> академической мобильности с учетом задач пространственного развития Российской Федерации и развития приоритетных территорий.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 xml:space="preserve">500 субсидий на проведение </w:t>
      </w:r>
      <w:proofErr w:type="gramStart"/>
      <w:r>
        <w:t>обучения по программам</w:t>
      </w:r>
      <w:proofErr w:type="gramEnd"/>
      <w:r>
        <w:t xml:space="preserve"> повышения квалификации научно-педагогических работников для разработки и реализации дисциплин в области правовой охраны, защиты и коммерциализации результатов интеллектуальной деятельности и разработок.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>300 поддержанных научных проектов и исследований в сфере общественно-политических наук.</w:t>
      </w:r>
    </w:p>
    <w:p w:rsidR="00C7371C" w:rsidRDefault="00C7371C" w:rsidP="00C7371C">
      <w:pPr>
        <w:pStyle w:val="a3"/>
        <w:numPr>
          <w:ilvl w:val="0"/>
          <w:numId w:val="1"/>
        </w:numPr>
      </w:pPr>
      <w:r>
        <w:t>156 лабораторий мирового уровня.</w:t>
      </w:r>
    </w:p>
    <w:p w:rsidR="00C7371C" w:rsidRPr="00330BDC" w:rsidRDefault="00C7371C" w:rsidP="00C7371C">
      <w:pPr>
        <w:pStyle w:val="a3"/>
        <w:numPr>
          <w:ilvl w:val="0"/>
          <w:numId w:val="1"/>
        </w:numPr>
      </w:pPr>
      <w:r>
        <w:t>15 центров развития компетенций руководителей научных, научно-технических проектов и лабораторий в рамках НОЦ.</w:t>
      </w:r>
    </w:p>
    <w:p w:rsidR="00C7371C" w:rsidRDefault="00C7371C" w:rsidP="00C7371C">
      <w:pPr>
        <w:rPr>
          <w:b/>
          <w:i/>
          <w:u w:val="single"/>
        </w:rPr>
      </w:pPr>
    </w:p>
    <w:p w:rsidR="00C7371C" w:rsidRDefault="00C7371C" w:rsidP="00A54C0D"/>
    <w:p w:rsidR="00C7371C" w:rsidRDefault="00A54C0D" w:rsidP="00C7371C">
      <w:r>
        <w:t xml:space="preserve">- </w:t>
      </w:r>
      <w:r w:rsidR="00C7371C" w:rsidRPr="00C7371C">
        <w:rPr>
          <w:b/>
          <w:i/>
        </w:rPr>
        <w:t>Развитие масштабных научных и научно-технологических проектов по приоритетным исследовательским направлениям (ИССЛЕДОВАТЕЛЬСКОЕ ЛИДЕРСТВО)</w:t>
      </w:r>
      <w:r w:rsidRPr="00C7371C">
        <w:rPr>
          <w:b/>
          <w:i/>
        </w:rPr>
        <w:t>;</w:t>
      </w:r>
      <w:r w:rsidR="00C7371C" w:rsidRPr="00C7371C">
        <w:t xml:space="preserve"> </w:t>
      </w:r>
    </w:p>
    <w:p w:rsidR="00C7371C" w:rsidRDefault="00C7371C" w:rsidP="00C7371C"/>
    <w:p w:rsidR="00C7371C" w:rsidRDefault="00C7371C" w:rsidP="00C7371C">
      <w:r>
        <w:t>Задача: развитие масштабных научных и научно-технологических проектов по приоритетным исследовательским направлениям.</w:t>
      </w:r>
    </w:p>
    <w:p w:rsidR="00C7371C" w:rsidRDefault="00C7371C" w:rsidP="00C7371C"/>
    <w:p w:rsidR="00C7371C" w:rsidRDefault="00C7371C" w:rsidP="00C7371C">
      <w:r>
        <w:t xml:space="preserve">Мероприятия направлены </w:t>
      </w:r>
      <w:proofErr w:type="gramStart"/>
      <w:r>
        <w:t>на</w:t>
      </w:r>
      <w:proofErr w:type="gramEnd"/>
      <w:r>
        <w:t>:</w:t>
      </w:r>
    </w:p>
    <w:p w:rsidR="00C7371C" w:rsidRDefault="00C7371C" w:rsidP="00C7371C">
      <w:pPr>
        <w:pStyle w:val="a3"/>
        <w:numPr>
          <w:ilvl w:val="0"/>
          <w:numId w:val="7"/>
        </w:numPr>
      </w:pPr>
      <w:r>
        <w:t>достижение значимых результатов по приоритетам стратегии научно-технологического развития России;</w:t>
      </w:r>
    </w:p>
    <w:p w:rsidR="00C7371C" w:rsidRDefault="00C7371C" w:rsidP="00C7371C">
      <w:pPr>
        <w:pStyle w:val="a3"/>
        <w:numPr>
          <w:ilvl w:val="0"/>
          <w:numId w:val="7"/>
        </w:numPr>
      </w:pPr>
      <w:r>
        <w:t>повышение привлекательности российской науки и образования за счет создания мировых и региональных тематических центров.</w:t>
      </w:r>
    </w:p>
    <w:p w:rsidR="00C7371C" w:rsidRDefault="00C7371C" w:rsidP="00C7371C"/>
    <w:p w:rsidR="00C7371C" w:rsidRDefault="00C7371C" w:rsidP="00C7371C">
      <w:r>
        <w:t>В 2024 году:</w:t>
      </w:r>
    </w:p>
    <w:p w:rsidR="00C7371C" w:rsidRDefault="00C7371C" w:rsidP="00C7371C"/>
    <w:p w:rsidR="00C7371C" w:rsidRDefault="00C7371C" w:rsidP="00C7371C">
      <w:pPr>
        <w:pStyle w:val="a3"/>
        <w:numPr>
          <w:ilvl w:val="0"/>
          <w:numId w:val="2"/>
        </w:numPr>
      </w:pPr>
      <w:proofErr w:type="gramStart"/>
      <w:r>
        <w:t xml:space="preserve">750 российских научных журналов включены в международные базы данных (WEB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 xml:space="preserve">,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 </w:t>
      </w:r>
      <w:proofErr w:type="spellStart"/>
      <w:r>
        <w:t>Scopus</w:t>
      </w:r>
      <w:proofErr w:type="spellEnd"/>
      <w:r>
        <w:t>).</w:t>
      </w:r>
      <w:proofErr w:type="gramEnd"/>
    </w:p>
    <w:p w:rsidR="00C7371C" w:rsidRDefault="00C7371C" w:rsidP="00C7371C">
      <w:pPr>
        <w:pStyle w:val="a3"/>
        <w:numPr>
          <w:ilvl w:val="0"/>
          <w:numId w:val="2"/>
        </w:numPr>
      </w:pPr>
      <w:r>
        <w:t>238 морских экспедиций на научно-исследовательских судах.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42 мероприятиям в области синхротронных и нейтронных исследований оказана государственная поддержка.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35 селекционно-семеноводческих и селекционно-племенных центров.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lastRenderedPageBreak/>
        <w:t xml:space="preserve">35 центрам </w:t>
      </w:r>
      <w:proofErr w:type="spellStart"/>
      <w:r>
        <w:t>трансфера</w:t>
      </w:r>
      <w:proofErr w:type="spellEnd"/>
      <w:r>
        <w:t xml:space="preserve"> технологий и 16 научным центрам мирового уровня оказана господдержка.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30 ежегодных подписок в информационно-коммуникационной сети "Интернет" к научным журналам, базам данных научного цитирования.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25 мероприятиям развития генетических технологий и 11 региональным научно-образовательным математическим центрам оказана государственная поддержка.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24 центра Национальной технологической инициативы созданы и поддержаны.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19 мероприятий для вовлечения университетов в создание экосистемы студенческого технологического предпринимательства.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5 масштабным научным проектам мирового уровня оказана господдержка.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 xml:space="preserve">4 </w:t>
      </w:r>
      <w:proofErr w:type="gramStart"/>
      <w:r>
        <w:t>международных</w:t>
      </w:r>
      <w:proofErr w:type="gramEnd"/>
      <w:r>
        <w:t xml:space="preserve"> математических центра мирового уровня.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 xml:space="preserve">Сеть из 3 </w:t>
      </w:r>
      <w:proofErr w:type="spellStart"/>
      <w:r>
        <w:t>биоресурсных</w:t>
      </w:r>
      <w:proofErr w:type="spellEnd"/>
      <w:r>
        <w:t xml:space="preserve"> центров.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3 центрам геномных исследований мирового уровня (консорциумам) обеспечена государственная поддержка программ создания и развития.</w:t>
      </w:r>
    </w:p>
    <w:p w:rsidR="00C7371C" w:rsidRDefault="00C7371C" w:rsidP="00C7371C">
      <w:pPr>
        <w:pStyle w:val="a3"/>
        <w:numPr>
          <w:ilvl w:val="0"/>
          <w:numId w:val="2"/>
        </w:numPr>
      </w:pPr>
      <w:proofErr w:type="gramStart"/>
      <w:r>
        <w:t>Разработан</w:t>
      </w:r>
      <w:proofErr w:type="gramEnd"/>
      <w:r>
        <w:t xml:space="preserve"> НПА для создания и развития </w:t>
      </w:r>
      <w:proofErr w:type="spellStart"/>
      <w:r>
        <w:t>агробиотехнопарков</w:t>
      </w:r>
      <w:proofErr w:type="spellEnd"/>
      <w:r>
        <w:t>.</w:t>
      </w:r>
    </w:p>
    <w:p w:rsidR="00C7371C" w:rsidRDefault="00C7371C" w:rsidP="00C7371C">
      <w:pPr>
        <w:pStyle w:val="a3"/>
        <w:numPr>
          <w:ilvl w:val="0"/>
          <w:numId w:val="2"/>
        </w:numPr>
      </w:pPr>
      <w:r>
        <w:t>Международные научные исследования на уникальной научной установке класса «</w:t>
      </w:r>
      <w:proofErr w:type="spellStart"/>
      <w:r>
        <w:t>мегасайенс</w:t>
      </w:r>
      <w:proofErr w:type="spellEnd"/>
      <w:r>
        <w:t xml:space="preserve">» - Международный центр нейтронных исследований на базе </w:t>
      </w:r>
      <w:proofErr w:type="spellStart"/>
      <w:r>
        <w:t>высокопоточного</w:t>
      </w:r>
      <w:proofErr w:type="spellEnd"/>
      <w:r>
        <w:t xml:space="preserve"> реактора ПИК и в Комплексе сверхпроводящих колец на встречных пучках тяжелых ионов NICA.</w:t>
      </w:r>
    </w:p>
    <w:p w:rsidR="00A54C0D" w:rsidRDefault="00A54C0D" w:rsidP="00A54C0D"/>
    <w:p w:rsidR="00C7371C" w:rsidRDefault="00A54C0D" w:rsidP="00C7371C">
      <w:r>
        <w:t xml:space="preserve">- </w:t>
      </w:r>
      <w:r w:rsidR="00C7371C" w:rsidRPr="00C7371C">
        <w:rPr>
          <w:b/>
          <w:i/>
        </w:rPr>
        <w:t>Развитие интеграционных процессов в сфере науки, высшего образования и индустрии (ИНТЕГРАЦИЯ)</w:t>
      </w:r>
      <w:r w:rsidRPr="00C7371C">
        <w:rPr>
          <w:b/>
          <w:i/>
        </w:rPr>
        <w:t>;</w:t>
      </w:r>
      <w:r w:rsidR="00C7371C" w:rsidRPr="00C7371C">
        <w:t xml:space="preserve"> </w:t>
      </w:r>
    </w:p>
    <w:p w:rsidR="00C7371C" w:rsidRDefault="00C7371C" w:rsidP="00C7371C"/>
    <w:p w:rsidR="00C7371C" w:rsidRDefault="00C7371C" w:rsidP="00C7371C">
      <w:r>
        <w:t>Задача: усиление мер по стимулированию и развитию объединений вузов, научных организаций и организаций реального сектора экономики.</w:t>
      </w:r>
    </w:p>
    <w:p w:rsidR="00C7371C" w:rsidRDefault="00C7371C" w:rsidP="00C7371C"/>
    <w:p w:rsidR="00C7371C" w:rsidRDefault="00C7371C" w:rsidP="00C7371C">
      <w:r>
        <w:t xml:space="preserve">Мероприятия направлены </w:t>
      </w:r>
      <w:proofErr w:type="gramStart"/>
      <w:r>
        <w:t>на</w:t>
      </w:r>
      <w:proofErr w:type="gramEnd"/>
      <w:r>
        <w:t>:</w:t>
      </w:r>
    </w:p>
    <w:p w:rsidR="00C7371C" w:rsidRDefault="00C7371C" w:rsidP="00C7371C"/>
    <w:p w:rsidR="00C7371C" w:rsidRDefault="00C7371C" w:rsidP="00C7371C">
      <w:pPr>
        <w:pStyle w:val="a3"/>
        <w:numPr>
          <w:ilvl w:val="0"/>
          <w:numId w:val="4"/>
        </w:numPr>
      </w:pPr>
      <w:r>
        <w:t>создание интеграционных научно-образовательных и научно-производственных структур мирового уровня;</w:t>
      </w:r>
    </w:p>
    <w:p w:rsidR="00C7371C" w:rsidRDefault="00C7371C" w:rsidP="00C7371C">
      <w:pPr>
        <w:pStyle w:val="a3"/>
        <w:numPr>
          <w:ilvl w:val="0"/>
          <w:numId w:val="4"/>
        </w:numPr>
      </w:pPr>
      <w:r>
        <w:t>повышение уровня региональных систем высшего образования и науки за счет консолидации ресурсов заинтересованных сторон, в том числе и регионов.</w:t>
      </w:r>
    </w:p>
    <w:p w:rsidR="00C7371C" w:rsidRDefault="00C7371C" w:rsidP="00C7371C">
      <w:r>
        <w:t>В 2024 году:</w:t>
      </w:r>
    </w:p>
    <w:p w:rsidR="00C7371C" w:rsidRDefault="00C7371C" w:rsidP="00C7371C"/>
    <w:p w:rsidR="00C7371C" w:rsidRDefault="00C7371C" w:rsidP="00C7371C">
      <w:pPr>
        <w:pStyle w:val="a3"/>
        <w:numPr>
          <w:ilvl w:val="0"/>
          <w:numId w:val="3"/>
        </w:numPr>
      </w:pPr>
      <w:r>
        <w:t>Поддержка научно-производственной кооперации 104 вузов, научных учреждений и производственных предприятий для реализации комплексных проектов по созданию высокотехнологичных производств.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t xml:space="preserve">102 университета поддержаны с целью формирования группы университетов - национальных лидеров </w:t>
      </w:r>
      <w:proofErr w:type="gramStart"/>
      <w:r>
        <w:t>для</w:t>
      </w:r>
      <w:proofErr w:type="gramEnd"/>
      <w:r>
        <w:t>: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lastRenderedPageBreak/>
        <w:t>формирования научного, технологического и кадрового обеспечения экономики и социальной сферы;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t>повышения глобальной конкурентоспособности системы высшего образования;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t>содействия региональному развитию.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t>15 научно-образовательных центров мирового уровня.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t>Сеть из 8 специализированных учебных научных центров по подготовке высококвалифицированных кадров на базе ведущих университетов.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t>Нормативно-правовая база для реализации программы стратегического академического лидерства «Приоритет-2030».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t>Методика учета доли трудоустроенных выпускников образовательных организаций высшего образования (ООВО).</w:t>
      </w:r>
    </w:p>
    <w:p w:rsidR="00C7371C" w:rsidRDefault="00C7371C" w:rsidP="00C7371C">
      <w:pPr>
        <w:pStyle w:val="a3"/>
        <w:numPr>
          <w:ilvl w:val="0"/>
          <w:numId w:val="3"/>
        </w:numPr>
      </w:pPr>
      <w:r>
        <w:t>Механизм привлечения и учета внебюджетных источников финансирования в сектор исследования и разработок.</w:t>
      </w:r>
    </w:p>
    <w:p w:rsidR="00A54C0D" w:rsidRDefault="00A54C0D" w:rsidP="00A54C0D"/>
    <w:p w:rsidR="00A54C0D" w:rsidRDefault="00A54C0D" w:rsidP="00A54C0D">
      <w:r>
        <w:t xml:space="preserve">- </w:t>
      </w:r>
      <w:r w:rsidR="00C7371C" w:rsidRPr="00C7371C">
        <w:rPr>
          <w:b/>
          <w:i/>
        </w:rPr>
        <w:t>Развитие инфраструктуры для научных исследований и подготовки кадров (ИНФРАСТРУКТУРА)</w:t>
      </w:r>
      <w:r w:rsidRPr="00C7371C">
        <w:rPr>
          <w:b/>
          <w:i/>
        </w:rPr>
        <w:t>.</w:t>
      </w:r>
    </w:p>
    <w:p w:rsidR="00A54C0D" w:rsidRDefault="00A54C0D" w:rsidP="00A54C0D"/>
    <w:p w:rsidR="00A54C0D" w:rsidRDefault="00A54C0D" w:rsidP="00A54C0D">
      <w:r>
        <w:t>Задача: обеспечение передовой инфраструктурой для научных исследований.</w:t>
      </w:r>
    </w:p>
    <w:p w:rsidR="00A54C0D" w:rsidRDefault="00A54C0D" w:rsidP="00A54C0D"/>
    <w:p w:rsidR="00A54C0D" w:rsidRDefault="00A54C0D" w:rsidP="00A54C0D">
      <w:r>
        <w:t xml:space="preserve">Мероприятия направлены </w:t>
      </w:r>
      <w:proofErr w:type="gramStart"/>
      <w:r>
        <w:t>на</w:t>
      </w:r>
      <w:proofErr w:type="gramEnd"/>
      <w:r>
        <w:t>:</w:t>
      </w:r>
    </w:p>
    <w:p w:rsidR="00A54C0D" w:rsidRDefault="00A54C0D" w:rsidP="00A54C0D"/>
    <w:p w:rsidR="00A54C0D" w:rsidRPr="00330BDC" w:rsidRDefault="00A54C0D" w:rsidP="00330BDC">
      <w:pPr>
        <w:pStyle w:val="a3"/>
        <w:numPr>
          <w:ilvl w:val="0"/>
          <w:numId w:val="8"/>
        </w:numPr>
      </w:pPr>
      <w:r w:rsidRPr="00330BDC">
        <w:t>обновление приборной базы ведущих организаций;</w:t>
      </w:r>
    </w:p>
    <w:p w:rsidR="00A54C0D" w:rsidRPr="00330BDC" w:rsidRDefault="00A54C0D" w:rsidP="00330BDC">
      <w:pPr>
        <w:pStyle w:val="a3"/>
        <w:numPr>
          <w:ilvl w:val="0"/>
          <w:numId w:val="8"/>
        </w:numPr>
      </w:pPr>
      <w:r w:rsidRPr="00330BDC">
        <w:t>продолжение создания уникальных научных установок класса «</w:t>
      </w:r>
      <w:proofErr w:type="spellStart"/>
      <w:r w:rsidRPr="00330BDC">
        <w:t>мегасайенс</w:t>
      </w:r>
      <w:proofErr w:type="spellEnd"/>
      <w:r w:rsidRPr="00330BDC">
        <w:t>»;</w:t>
      </w:r>
    </w:p>
    <w:p w:rsidR="00A54C0D" w:rsidRPr="00330BDC" w:rsidRDefault="00A54C0D" w:rsidP="00330BDC">
      <w:pPr>
        <w:pStyle w:val="a3"/>
        <w:numPr>
          <w:ilvl w:val="0"/>
          <w:numId w:val="8"/>
        </w:numPr>
      </w:pPr>
      <w:r w:rsidRPr="00330BDC">
        <w:t>строительство и модернизацию научно-исследовательского флота;</w:t>
      </w:r>
    </w:p>
    <w:p w:rsidR="00A54C0D" w:rsidRPr="00330BDC" w:rsidRDefault="00A54C0D" w:rsidP="00330BDC">
      <w:pPr>
        <w:pStyle w:val="a3"/>
        <w:numPr>
          <w:ilvl w:val="0"/>
          <w:numId w:val="8"/>
        </w:numPr>
      </w:pPr>
      <w:r w:rsidRPr="00330BDC">
        <w:t>совершенствование цифровой инфраструктуры науки и образования;</w:t>
      </w:r>
    </w:p>
    <w:p w:rsidR="00A54C0D" w:rsidRPr="00330BDC" w:rsidRDefault="00A54C0D" w:rsidP="00330BDC">
      <w:pPr>
        <w:pStyle w:val="a3"/>
        <w:numPr>
          <w:ilvl w:val="0"/>
          <w:numId w:val="8"/>
        </w:numPr>
      </w:pPr>
      <w:r w:rsidRPr="00330BDC">
        <w:t>обеспечение комфортных условий для обучающихся и научно-педагогических работников.</w:t>
      </w:r>
    </w:p>
    <w:p w:rsidR="00A54C0D" w:rsidRDefault="00A54C0D" w:rsidP="00A54C0D">
      <w:r>
        <w:t>В 2024 году:</w:t>
      </w:r>
    </w:p>
    <w:p w:rsidR="00A54C0D" w:rsidRDefault="00A54C0D" w:rsidP="00A54C0D"/>
    <w:p w:rsidR="00A54C0D" w:rsidRDefault="00A54C0D" w:rsidP="00330BDC">
      <w:pPr>
        <w:pStyle w:val="a3"/>
        <w:numPr>
          <w:ilvl w:val="0"/>
          <w:numId w:val="5"/>
        </w:numPr>
      </w:pPr>
      <w:r>
        <w:t>19 инжиниринговых центров.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13 комплексов цифровых сервисов и решений в сфере науки и высшего образования.</w:t>
      </w:r>
    </w:p>
    <w:p w:rsidR="00A54C0D" w:rsidRDefault="00A54C0D" w:rsidP="00330BDC">
      <w:pPr>
        <w:pStyle w:val="a3"/>
        <w:numPr>
          <w:ilvl w:val="0"/>
          <w:numId w:val="5"/>
        </w:numPr>
      </w:pPr>
      <w:proofErr w:type="gramStart"/>
      <w:r>
        <w:t>Модернизированы</w:t>
      </w:r>
      <w:proofErr w:type="gramEnd"/>
      <w:r>
        <w:t xml:space="preserve"> 5 действующих научно-исследовательских судов: «Академик Николай Страхов», «Академик Сергей Вавилов», «Академик М.А.Лаврентьев», «Академик Мстислав Келдыш» и «Академик Иоффе».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 xml:space="preserve">2 </w:t>
      </w:r>
      <w:proofErr w:type="gramStart"/>
      <w:r>
        <w:t>новых</w:t>
      </w:r>
      <w:proofErr w:type="gramEnd"/>
      <w:r>
        <w:t xml:space="preserve"> научно-исследовательских судна неограниченного района плавания.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Обновленная инфраструктура и приборная база ведущих организаций.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Повышенный уровень технической вооруженности сектора исследований и разработок.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lastRenderedPageBreak/>
        <w:t>Финансовая поддержка развития национальной исследовательской компьютерной сети нового поколения в интересах ведущих научных и образовательных организаций.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Уникальная научная установка класса «</w:t>
      </w:r>
      <w:proofErr w:type="spellStart"/>
      <w:r>
        <w:t>мегасайенс</w:t>
      </w:r>
      <w:proofErr w:type="spellEnd"/>
      <w:r>
        <w:t>» ЦКП "СКИФ" с 6 экспериментальными станциями.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Уникальная научная установка класса «</w:t>
      </w:r>
      <w:proofErr w:type="spellStart"/>
      <w:r>
        <w:t>мегасайенс</w:t>
      </w:r>
      <w:proofErr w:type="spellEnd"/>
      <w:r>
        <w:t>» на о. Русский в Дальневосточном федеральном округе.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 xml:space="preserve">Исследовательские станции Международного центра нейтронных исследований на базе </w:t>
      </w:r>
      <w:proofErr w:type="spellStart"/>
      <w:r>
        <w:t>высокопоточного</w:t>
      </w:r>
      <w:proofErr w:type="spellEnd"/>
      <w:r>
        <w:t xml:space="preserve"> реактора ПИК.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Развитие электронного обучения и дистанционных образовательных технологий сферы высшего образования и дополнительного профессионального образования.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Курчатовский специализированный источник синхротронного излучения «</w:t>
      </w:r>
      <w:proofErr w:type="spellStart"/>
      <w:r>
        <w:t>КИСИ-Курчатов</w:t>
      </w:r>
      <w:proofErr w:type="spellEnd"/>
      <w:r>
        <w:t>».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Научно-образовательный медицинский центр ядерной медицины на базе НИЦ «Курчатовский институт».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Информационно-аналитическая система оперативного мониторинга и оценки состояния научно-технического обеспечения исследований в области генетических технологий.</w:t>
      </w:r>
    </w:p>
    <w:p w:rsidR="00A54C0D" w:rsidRDefault="00A54C0D" w:rsidP="00330BDC">
      <w:pPr>
        <w:pStyle w:val="a3"/>
        <w:numPr>
          <w:ilvl w:val="0"/>
          <w:numId w:val="5"/>
        </w:numPr>
      </w:pPr>
      <w:r>
        <w:t>Модернизированное опытное производство НИЦ «Курчатовский институт».</w:t>
      </w:r>
    </w:p>
    <w:p w:rsidR="00330BDC" w:rsidRDefault="00330BDC" w:rsidP="00A54C0D"/>
    <w:p w:rsidR="00A54C0D" w:rsidRPr="00330BDC" w:rsidRDefault="00A54C0D" w:rsidP="00A54C0D">
      <w:pPr>
        <w:rPr>
          <w:b/>
        </w:rPr>
      </w:pPr>
      <w:r w:rsidRPr="00330BDC">
        <w:rPr>
          <w:b/>
        </w:rPr>
        <w:t>ВОПРОСЫ И ОТВЕТЫ</w:t>
      </w:r>
    </w:p>
    <w:p w:rsidR="00A54C0D" w:rsidRDefault="00A54C0D" w:rsidP="00A54C0D"/>
    <w:p w:rsidR="00A54C0D" w:rsidRPr="00330BDC" w:rsidRDefault="00A54C0D" w:rsidP="00A54C0D">
      <w:pPr>
        <w:rPr>
          <w:u w:val="single"/>
        </w:rPr>
      </w:pPr>
      <w:r w:rsidRPr="00330BDC">
        <w:rPr>
          <w:u w:val="single"/>
        </w:rPr>
        <w:t>Что такое НОЦ и зачем они нужны?</w:t>
      </w:r>
    </w:p>
    <w:p w:rsidR="00A54C0D" w:rsidRDefault="00A54C0D" w:rsidP="00A54C0D"/>
    <w:p w:rsidR="00A54C0D" w:rsidRDefault="00A54C0D" w:rsidP="00A54C0D">
      <w:r>
        <w:t>Научно-образовательный центр мирового уровня – поддерживаемое субъектом Российской Федерации объединение без образования юридического лица федеральных государственных образовательных организаций высшего образования и (или) научных организаций с организациями, действующими в реальном секторе экономики, и осуществляющий деятельность в соответствии с программой деятельности центра.</w:t>
      </w:r>
    </w:p>
    <w:p w:rsidR="00A54C0D" w:rsidRDefault="00A54C0D" w:rsidP="00A54C0D"/>
    <w:p w:rsidR="00A54C0D" w:rsidRDefault="00A54C0D" w:rsidP="00A54C0D">
      <w:r>
        <w:t xml:space="preserve">Научно-образовательные центры (НОЦ) создаются в регионах с учетом местных направлений и нужд. Прежде </w:t>
      </w:r>
      <w:proofErr w:type="gramStart"/>
      <w:r>
        <w:t>всего</w:t>
      </w:r>
      <w:proofErr w:type="gramEnd"/>
      <w:r>
        <w:t xml:space="preserve"> НОЦ призваны наладить связь между тем, что происходит в лабораториях, и бизнесом.</w:t>
      </w:r>
    </w:p>
    <w:p w:rsidR="00A54C0D" w:rsidRDefault="00A54C0D" w:rsidP="00A54C0D"/>
    <w:p w:rsidR="00A54C0D" w:rsidRPr="00330BDC" w:rsidRDefault="00A54C0D" w:rsidP="00A54C0D">
      <w:pPr>
        <w:rPr>
          <w:u w:val="single"/>
        </w:rPr>
      </w:pPr>
      <w:r w:rsidRPr="00330BDC">
        <w:rPr>
          <w:u w:val="single"/>
        </w:rPr>
        <w:t>Чем будут заниматься НЦМУ?</w:t>
      </w:r>
    </w:p>
    <w:p w:rsidR="00A54C0D" w:rsidRDefault="00A54C0D" w:rsidP="00A54C0D"/>
    <w:p w:rsidR="00A54C0D" w:rsidRDefault="00A54C0D" w:rsidP="00A54C0D">
      <w:r>
        <w:t xml:space="preserve">Научные центры мирового уровня различаются по типам и создаются в целях осуществления прорывных исследований преимущественно фундаментального и поискового характера, направленных на решение задач, соответствующих мировому уровню актуальности и значимости. Они призваны объединить для решения масштабных экономических и научных </w:t>
      </w:r>
      <w:r>
        <w:lastRenderedPageBreak/>
        <w:t>задач потенциал ведущих университетов, научных организаций и предприятий реального сектора.</w:t>
      </w:r>
    </w:p>
    <w:p w:rsidR="00A54C0D" w:rsidRDefault="00A54C0D" w:rsidP="00A54C0D"/>
    <w:p w:rsidR="00A54C0D" w:rsidRPr="00330BDC" w:rsidRDefault="00A54C0D" w:rsidP="00A54C0D">
      <w:pPr>
        <w:rPr>
          <w:u w:val="single"/>
        </w:rPr>
      </w:pPr>
      <w:r w:rsidRPr="00330BDC">
        <w:rPr>
          <w:u w:val="single"/>
        </w:rPr>
        <w:t>Какую поддержку могут получить молодые ученые?</w:t>
      </w:r>
    </w:p>
    <w:p w:rsidR="00A54C0D" w:rsidRDefault="00A54C0D" w:rsidP="00A54C0D"/>
    <w:p w:rsidR="00A54C0D" w:rsidRDefault="00A54C0D" w:rsidP="00A54C0D">
      <w:r>
        <w:t>На государственном уровне для молодых ученых, осуществляющих перспективные исследования по направлениям научно-технологического развития и модернизации российской экономики, установлена система мер поддержки – финансовых, социальных и профессиональных.</w:t>
      </w:r>
    </w:p>
    <w:p w:rsidR="00A54C0D" w:rsidRDefault="00A54C0D" w:rsidP="00A54C0D"/>
    <w:p w:rsidR="00A54C0D" w:rsidRDefault="00A54C0D" w:rsidP="00A54C0D">
      <w:r>
        <w:t xml:space="preserve">Финансовая поддержка включает в себя гранты Президента Российской Федерации для молодых кандидатов и докторов наук, президентские и правительственные стипендии для молодых ученых и аспирантов, а также гранты, предоставляемые фондами поддержки научной, научно-технической и инновационной деятельности. Социальная поддержка связана с вопросом обеспечения молодых ученых жильем. Что касается профессиональной поддержки, то здесь она связана с созданием научно-образовательных и научных центров мирового уровня, а также запуском федерального проекта «Развитие передовой инфраструктуры для проведения исследований и разработок в Российской Федерации», </w:t>
      </w:r>
      <w:proofErr w:type="gramStart"/>
      <w:r>
        <w:t>который</w:t>
      </w:r>
      <w:proofErr w:type="gramEnd"/>
      <w:r>
        <w:t xml:space="preserve"> направлен на обновление приборной базы.</w:t>
      </w:r>
    </w:p>
    <w:p w:rsidR="00A54C0D" w:rsidRDefault="00A54C0D" w:rsidP="00A54C0D"/>
    <w:p w:rsidR="00A54C0D" w:rsidRPr="00330BDC" w:rsidRDefault="00A54C0D" w:rsidP="00A54C0D">
      <w:pPr>
        <w:rPr>
          <w:u w:val="single"/>
        </w:rPr>
      </w:pPr>
      <w:r w:rsidRPr="00330BDC">
        <w:rPr>
          <w:u w:val="single"/>
        </w:rPr>
        <w:t>На что направлена работа инжиниринговых центров?</w:t>
      </w:r>
    </w:p>
    <w:p w:rsidR="00A54C0D" w:rsidRDefault="00A54C0D" w:rsidP="00A54C0D"/>
    <w:p w:rsidR="00A54C0D" w:rsidRDefault="00A54C0D" w:rsidP="00A54C0D">
      <w:r>
        <w:t xml:space="preserve">Развитие кооперации между наукой и крупными российскими предприятиями – одна из приоритетных задач нацпроекта «Наука и университеты». Важную роль в коммерциализации научных исследований и разработок, а также их </w:t>
      </w:r>
      <w:proofErr w:type="spellStart"/>
      <w:r>
        <w:t>трансфере</w:t>
      </w:r>
      <w:proofErr w:type="spellEnd"/>
      <w:r>
        <w:t xml:space="preserve"> в реальный сектор экономики играют инжиниринговые центры.</w:t>
      </w:r>
    </w:p>
    <w:p w:rsidR="00A54C0D" w:rsidRDefault="00A54C0D" w:rsidP="00A54C0D"/>
    <w:p w:rsidR="00A54C0D" w:rsidRDefault="00A54C0D" w:rsidP="00A54C0D">
      <w:r>
        <w:t xml:space="preserve">Благодаря работе Инжиниринговых центров увеличивается эффективность осуществления вузами научной и образовательной деятельности, расширяется спектр фундаментальных и прикладных исследований. Создание инжиниринговых центров позволяет обеспечить коммерциализацию и вывод на рынок результатов исследований и разработок, а также ускорить процесс </w:t>
      </w:r>
      <w:proofErr w:type="spellStart"/>
      <w:r>
        <w:t>импортозамещения</w:t>
      </w:r>
      <w:proofErr w:type="spellEnd"/>
      <w:r>
        <w:t>.</w:t>
      </w:r>
    </w:p>
    <w:p w:rsidR="00A54C0D" w:rsidRDefault="00A54C0D" w:rsidP="00A54C0D"/>
    <w:p w:rsidR="00A54C0D" w:rsidRPr="00330BDC" w:rsidRDefault="00A54C0D" w:rsidP="00A54C0D">
      <w:pPr>
        <w:rPr>
          <w:u w:val="single"/>
        </w:rPr>
      </w:pPr>
      <w:r w:rsidRPr="00330BDC">
        <w:rPr>
          <w:u w:val="single"/>
        </w:rPr>
        <w:t>Какие задачи реализуются в рамках развития инфраструктуры?</w:t>
      </w:r>
    </w:p>
    <w:p w:rsidR="00A54C0D" w:rsidRDefault="00A54C0D" w:rsidP="00A54C0D"/>
    <w:p w:rsidR="00A54C0D" w:rsidRDefault="00A54C0D" w:rsidP="00A54C0D">
      <w:r>
        <w:t>В задачи нацпроекта входит обеспечение передовой инфраструктуры для научных исследований, включая обновление приборной базы ведущих организаций, а также создание уникальных научных установок класса «</w:t>
      </w:r>
      <w:proofErr w:type="spellStart"/>
      <w:r>
        <w:t>мегасайенс</w:t>
      </w:r>
      <w:proofErr w:type="spellEnd"/>
      <w:r>
        <w:t>». Кроме этого, запланировано строительство и модернизация научно-исследовательского флота, совершенствование цифровой инфраструктуры, создание комфортных условий для школьников, студентов, научных работников и педагогов.</w:t>
      </w:r>
    </w:p>
    <w:p w:rsidR="00A54C0D" w:rsidRDefault="00A54C0D" w:rsidP="00A54C0D"/>
    <w:p w:rsidR="00A54C0D" w:rsidRPr="00330BDC" w:rsidRDefault="00A54C0D" w:rsidP="00A54C0D">
      <w:pPr>
        <w:rPr>
          <w:u w:val="single"/>
        </w:rPr>
      </w:pPr>
      <w:r w:rsidRPr="00330BDC">
        <w:rPr>
          <w:u w:val="single"/>
        </w:rPr>
        <w:t>Что представляет собой программа «Приоритет 2030»?</w:t>
      </w:r>
    </w:p>
    <w:p w:rsidR="00A54C0D" w:rsidRDefault="00A54C0D" w:rsidP="00A54C0D"/>
    <w:p w:rsidR="00A54C0D" w:rsidRDefault="00A54C0D" w:rsidP="00A54C0D">
      <w:r>
        <w:t>«Приоритет 2030» представляет собой программу государственной поддержки российских университетов, цель которой сформировать к 2030 году более сотни прогрессивных современных учебных заведений — центров научно-технологического и социально-экономического развития страны.</w:t>
      </w:r>
    </w:p>
    <w:p w:rsidR="00A54C0D" w:rsidRDefault="00A54C0D" w:rsidP="00A54C0D"/>
    <w:p w:rsidR="00A54C0D" w:rsidRDefault="00A54C0D" w:rsidP="00A54C0D">
      <w:r>
        <w:t>Программа направлена на повышение конкурентоспособности России в области образования, науки и технологий. Она также призвана поддержать вклад российских университетов в достижение национальных целей развития России до 2030 года.</w:t>
      </w:r>
    </w:p>
    <w:p w:rsidR="00A54C0D" w:rsidRDefault="00A54C0D" w:rsidP="00A54C0D"/>
    <w:p w:rsidR="00A54C0D" w:rsidRPr="00A54C0D" w:rsidRDefault="00A54C0D" w:rsidP="00A54C0D">
      <w:pPr>
        <w:rPr>
          <w:b/>
        </w:rPr>
      </w:pPr>
      <w:r w:rsidRPr="00A54C0D">
        <w:rPr>
          <w:b/>
        </w:rPr>
        <w:t>ДЕСЯТИЛЕТИЕ НАУКИ И ТЕХНОЛОГИЙ В РОССИЙСКОЙ ФЕДЕРАЦИИ</w:t>
      </w:r>
    </w:p>
    <w:p w:rsidR="00A54C0D" w:rsidRDefault="00A54C0D" w:rsidP="00A54C0D"/>
    <w:p w:rsidR="00A54C0D" w:rsidRDefault="00A54C0D" w:rsidP="00A54C0D">
      <w:r>
        <w:t>Президент России Владимир Путин объявил о проведении с 2022 по 2031 год Десятилетия науки и технологий.</w:t>
      </w:r>
    </w:p>
    <w:p w:rsidR="00A54C0D" w:rsidRDefault="00A54C0D" w:rsidP="00A54C0D"/>
    <w:p w:rsidR="00A54C0D" w:rsidRDefault="00A54C0D" w:rsidP="00A54C0D">
      <w:r>
        <w:t>Его основные цели -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</w:t>
      </w:r>
    </w:p>
    <w:p w:rsidR="00A54C0D" w:rsidRDefault="00A54C0D" w:rsidP="00A54C0D"/>
    <w:p w:rsidR="00A54C0D" w:rsidRDefault="00A54C0D" w:rsidP="00A54C0D">
      <w:r>
        <w:t>Десятилетие науки и технологий в России включает в себя комплекс инициатив, проектов и мероприятий. Все они направлены на усиление роли науки и технологий в решении важнейших задач развития общества и страны.</w:t>
      </w:r>
    </w:p>
    <w:p w:rsidR="00A54C0D" w:rsidRDefault="00A54C0D" w:rsidP="00A54C0D"/>
    <w:p w:rsidR="00A54C0D" w:rsidRDefault="00A54C0D" w:rsidP="00A54C0D">
      <w:r>
        <w:t xml:space="preserve">Более подробная информация об инициативах, мероприятиях и проектах Десятилетия науки и технологий – на сайте </w:t>
      </w:r>
      <w:proofErr w:type="spellStart"/>
      <w:r>
        <w:t>наука</w:t>
      </w:r>
      <w:proofErr w:type="gramStart"/>
      <w:r>
        <w:t>.р</w:t>
      </w:r>
      <w:proofErr w:type="gramEnd"/>
      <w:r>
        <w:t>ф</w:t>
      </w:r>
      <w:proofErr w:type="spellEnd"/>
    </w:p>
    <w:p w:rsidR="00A54C0D" w:rsidRDefault="00A54C0D" w:rsidP="00A54C0D"/>
    <w:p w:rsidR="00A54C0D" w:rsidRDefault="00A54C0D" w:rsidP="00A54C0D">
      <w:r>
        <w:t>Оператор проведения Десятилетия науки и технологий – АНО «Национальные приоритеты».</w:t>
      </w:r>
    </w:p>
    <w:sectPr w:rsidR="00A54C0D" w:rsidSect="000160A7">
      <w:pgSz w:w="11906" w:h="16838"/>
      <w:pgMar w:top="709" w:right="851" w:bottom="1134" w:left="1701" w:header="709" w:footer="709" w:gutter="0"/>
      <w:cols w:space="708"/>
      <w:docGrid w:linePitch="38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2-12-22T16:04:00Z" w:initials="u">
    <w:p w:rsidR="00E12B4D" w:rsidRDefault="00E12B4D">
      <w:pPr>
        <w:pStyle w:val="a5"/>
      </w:pPr>
      <w:r>
        <w:rPr>
          <w:rStyle w:val="a4"/>
        </w:rPr>
        <w:annotationRef/>
      </w:r>
      <w:r>
        <w:t>Эти 4 блока сделайте сворачивающимися списками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02F"/>
    <w:multiLevelType w:val="hybridMultilevel"/>
    <w:tmpl w:val="6238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8DC"/>
    <w:multiLevelType w:val="hybridMultilevel"/>
    <w:tmpl w:val="94449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B0A45"/>
    <w:multiLevelType w:val="hybridMultilevel"/>
    <w:tmpl w:val="3512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128DC"/>
    <w:multiLevelType w:val="hybridMultilevel"/>
    <w:tmpl w:val="75E0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E775A"/>
    <w:multiLevelType w:val="hybridMultilevel"/>
    <w:tmpl w:val="216A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F47C7"/>
    <w:multiLevelType w:val="hybridMultilevel"/>
    <w:tmpl w:val="A902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7516"/>
    <w:multiLevelType w:val="hybridMultilevel"/>
    <w:tmpl w:val="43C2E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25545"/>
    <w:multiLevelType w:val="hybridMultilevel"/>
    <w:tmpl w:val="FD3A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54C0D"/>
    <w:rsid w:val="000160A7"/>
    <w:rsid w:val="001458F3"/>
    <w:rsid w:val="00160196"/>
    <w:rsid w:val="001F666C"/>
    <w:rsid w:val="00226080"/>
    <w:rsid w:val="00330BDC"/>
    <w:rsid w:val="004E30CF"/>
    <w:rsid w:val="00533B30"/>
    <w:rsid w:val="005E7040"/>
    <w:rsid w:val="006C7C6F"/>
    <w:rsid w:val="006F02B9"/>
    <w:rsid w:val="008132C5"/>
    <w:rsid w:val="00A16899"/>
    <w:rsid w:val="00A415EE"/>
    <w:rsid w:val="00A54C0D"/>
    <w:rsid w:val="00B35EEA"/>
    <w:rsid w:val="00B7720D"/>
    <w:rsid w:val="00C13BFE"/>
    <w:rsid w:val="00C7371C"/>
    <w:rsid w:val="00CC25B4"/>
    <w:rsid w:val="00D4345D"/>
    <w:rsid w:val="00DC7C2E"/>
    <w:rsid w:val="00E12B4D"/>
    <w:rsid w:val="00E261EA"/>
    <w:rsid w:val="00FB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C0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12B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2B4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2B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2B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2B4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2B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2022-12-22T06:49:00Z</dcterms:created>
  <dcterms:modified xsi:type="dcterms:W3CDTF">2022-12-22T13:05:00Z</dcterms:modified>
</cp:coreProperties>
</file>